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F0" w:rsidRPr="00FB1F2C" w:rsidRDefault="00F60B0F" w:rsidP="004A1308">
      <w:pPr>
        <w:spacing w:before="31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 xml:space="preserve">Il Trust: </w:t>
      </w:r>
      <w:r w:rsidR="00FB1F2C" w:rsidRPr="00FB1F2C">
        <w:rPr>
          <w:rFonts w:ascii="Arial" w:eastAsia="inter" w:hAnsi="Arial" w:cs="Arial"/>
          <w:b/>
          <w:color w:val="000000"/>
          <w:sz w:val="28"/>
          <w:szCs w:val="28"/>
        </w:rPr>
        <w:t>scudo avanzato contro gli accertamenti fiscali presuntivi nelle srl a ristretta base societaria</w:t>
      </w:r>
    </w:p>
    <w:p w:rsidR="00FB1F2C" w:rsidRDefault="00FB1F2C" w:rsidP="00FB1F2C">
      <w:pPr>
        <w:spacing w:before="315" w:after="105" w:line="360" w:lineRule="auto"/>
        <w:ind w:left="-30"/>
        <w:jc w:val="both"/>
        <w:rPr>
          <w:rFonts w:ascii="Arial" w:eastAsia="inter" w:hAnsi="Arial" w:cs="Arial"/>
          <w:b/>
          <w:color w:val="000000"/>
          <w:sz w:val="28"/>
          <w:szCs w:val="28"/>
        </w:rPr>
      </w:pPr>
    </w:p>
    <w:p w:rsidR="006631F0" w:rsidRPr="00FB1F2C" w:rsidRDefault="00F60B0F" w:rsidP="00FB1F2C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Gli Accertamenti Fiscali e il Principio di Presunzione nelle SRL</w:t>
      </w:r>
    </w:p>
    <w:p w:rsidR="006631F0" w:rsidRPr="00FB1F2C" w:rsidRDefault="00F60B0F" w:rsidP="00FB1F2C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color w:val="000000"/>
          <w:sz w:val="28"/>
          <w:szCs w:val="28"/>
        </w:rPr>
        <w:t>Le società a responsabilità limitata (SRL), specialmente quelle con una base societaria ristretta composta da pochi soci, sono storicamente considerate dall’Amministrazione Finanziaria come soggetti "sensibili" agli accertamenti fiscali. La motivazione pri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ncipale risiede nel sospetto che l’attività e gli utili della società possano essere gestiti in modo commisto con i patrimoni personali dei soci. L’ordinanza della Cassazione n. 31750/2024, ad esempio, conferma la tendenza del fisco ad applicare la presunz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ione che i redditi e gli </w:t>
      </w:r>
      <w:proofErr w:type="spellStart"/>
      <w:r w:rsidRPr="00FB1F2C">
        <w:rPr>
          <w:rFonts w:ascii="Arial" w:eastAsia="inter" w:hAnsi="Arial" w:cs="Arial"/>
          <w:color w:val="000000"/>
          <w:sz w:val="28"/>
          <w:szCs w:val="28"/>
        </w:rPr>
        <w:t>asset</w:t>
      </w:r>
      <w:proofErr w:type="spellEnd"/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della SRL siano, di fatto, nella disponibilità diretta dei soci (soprattutto se coniugi o familiari), portando a contestazioni e richieste di maggior tassazione sulle persone fisiche coinvolte.</w:t>
      </w:r>
      <w:r w:rsidR="00FB1F2C">
        <w:rPr>
          <w:rFonts w:ascii="Arial" w:hAnsi="Arial" w:cs="Arial"/>
          <w:sz w:val="28"/>
          <w:szCs w:val="28"/>
        </w:rPr>
        <w:t xml:space="preserve">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Questa presunzione comporta ris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chi concreti per i soci:</w:t>
      </w:r>
    </w:p>
    <w:p w:rsidR="006631F0" w:rsidRPr="00FB1F2C" w:rsidRDefault="00F60B0F" w:rsidP="00FB1F2C">
      <w:pPr>
        <w:numPr>
          <w:ilvl w:val="0"/>
          <w:numId w:val="1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Accertamenti retroattivi: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Il fisco può considerare una parte degli utili societari come "disponibili" per i soci e quindi assoggettabili ad imposta sul reddito delle persone fisiche</w:t>
      </w:r>
      <w:r w:rsidR="00FB1F2C">
        <w:rPr>
          <w:rFonts w:ascii="Arial" w:eastAsia="inter" w:hAnsi="Arial" w:cs="Arial"/>
          <w:color w:val="000000"/>
          <w:sz w:val="28"/>
          <w:szCs w:val="28"/>
        </w:rPr>
        <w:t xml:space="preserve"> dei soci stessi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.</w:t>
      </w:r>
    </w:p>
    <w:p w:rsidR="006631F0" w:rsidRPr="00FB1F2C" w:rsidRDefault="00F60B0F" w:rsidP="00FB1F2C">
      <w:pPr>
        <w:numPr>
          <w:ilvl w:val="0"/>
          <w:numId w:val="1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Presunzione di elusione: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Scatta l’onere probator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io in capo ai soci per dimostrare che le risorse societarie sono effettivamente utilizzate esclusivamente a fini aziendali.</w:t>
      </w:r>
    </w:p>
    <w:p w:rsidR="006631F0" w:rsidRPr="004A1308" w:rsidRDefault="00F60B0F" w:rsidP="00FB1F2C">
      <w:pPr>
        <w:numPr>
          <w:ilvl w:val="0"/>
          <w:numId w:val="1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Coinvolgimento personale: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Le indagini ed eventuali recuperi fiscali possono colpire anche il patrimonio personale dei soci, con cons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eguenze sulla loro solvibilità e reputazione.</w:t>
      </w:r>
    </w:p>
    <w:p w:rsidR="004A1308" w:rsidRPr="00FB1F2C" w:rsidRDefault="004A1308" w:rsidP="004A1308">
      <w:pPr>
        <w:spacing w:before="105" w:after="105" w:line="360" w:lineRule="auto"/>
        <w:ind w:left="180"/>
        <w:jc w:val="both"/>
        <w:rPr>
          <w:rFonts w:ascii="Arial" w:hAnsi="Arial" w:cs="Arial"/>
          <w:sz w:val="28"/>
          <w:szCs w:val="28"/>
        </w:rPr>
      </w:pPr>
    </w:p>
    <w:p w:rsidR="006631F0" w:rsidRPr="00FB1F2C" w:rsidRDefault="004A1308" w:rsidP="00FB1F2C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inter" w:hAnsi="Arial" w:cs="Arial"/>
          <w:b/>
          <w:color w:val="000000"/>
          <w:sz w:val="28"/>
          <w:szCs w:val="28"/>
        </w:rPr>
        <w:t>Il Trust come s</w:t>
      </w:r>
      <w:r w:rsidR="00F60B0F" w:rsidRPr="00FB1F2C">
        <w:rPr>
          <w:rFonts w:ascii="Arial" w:eastAsia="inter" w:hAnsi="Arial" w:cs="Arial"/>
          <w:b/>
          <w:color w:val="000000"/>
          <w:sz w:val="28"/>
          <w:szCs w:val="28"/>
        </w:rPr>
        <w:t xml:space="preserve">ocio della SRL: </w:t>
      </w: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 xml:space="preserve">un terzo </w:t>
      </w:r>
      <w:r>
        <w:rPr>
          <w:rFonts w:ascii="Arial" w:eastAsia="inter" w:hAnsi="Arial" w:cs="Arial"/>
          <w:b/>
          <w:color w:val="000000"/>
          <w:sz w:val="28"/>
          <w:szCs w:val="28"/>
        </w:rPr>
        <w:t xml:space="preserve">soggetto </w:t>
      </w: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giuridico per la protezione delle persone fisiche</w:t>
      </w:r>
    </w:p>
    <w:p w:rsidR="006631F0" w:rsidRPr="00FB1F2C" w:rsidRDefault="00F60B0F" w:rsidP="00FB1F2C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color w:val="000000"/>
          <w:sz w:val="28"/>
          <w:szCs w:val="28"/>
        </w:rPr>
        <w:t>L’introduzione di un trust come socio unico o di maggioranza di una SRL determina un importante cambio di scenario. Il t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rust è un soggetto giuridico autonomo, dotato di un vincolo di destinazione che garantisce la separazione patrimoniale tra società e beneficiari finali. In termini pratici, il trust spezza la presunzione automatica di commistione tra patrimonio societario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e quello dei soci persone fisiche, indebolendo drasticamente le argomentazioni fiscali basate su questo principio.</w:t>
      </w:r>
    </w:p>
    <w:p w:rsidR="006631F0" w:rsidRPr="00FB1F2C" w:rsidRDefault="00F60B0F" w:rsidP="00FB1F2C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Benefici principali:</w:t>
      </w:r>
    </w:p>
    <w:p w:rsidR="006631F0" w:rsidRPr="00FB1F2C" w:rsidRDefault="00F60B0F" w:rsidP="00FB1F2C">
      <w:pPr>
        <w:numPr>
          <w:ilvl w:val="0"/>
          <w:numId w:val="2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Separazione patrimoniale effettiva: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Il patrimonio della SRL controllata da un trust è, per legge e per struttura, distin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to da quello dei beneficiari. Questo offre una </w:t>
      </w:r>
      <w:r w:rsidR="004A1308">
        <w:rPr>
          <w:rFonts w:ascii="Arial" w:eastAsia="inter" w:hAnsi="Arial" w:cs="Arial"/>
          <w:color w:val="000000"/>
          <w:sz w:val="28"/>
          <w:szCs w:val="28"/>
        </w:rPr>
        <w:t xml:space="preserve">robusta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protezione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dagli accertamenti fiscali e da eventuali aggressioni patrimoniali sul fronte personale.</w:t>
      </w:r>
    </w:p>
    <w:p w:rsidR="006631F0" w:rsidRPr="00FB1F2C" w:rsidRDefault="00F60B0F" w:rsidP="00FB1F2C">
      <w:pPr>
        <w:numPr>
          <w:ilvl w:val="0"/>
          <w:numId w:val="2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Difesa efficace contro le presunzioni: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Il trust, essendo gestito da un </w:t>
      </w:r>
      <w:proofErr w:type="spellStart"/>
      <w:r w:rsidRPr="00FB1F2C">
        <w:rPr>
          <w:rFonts w:ascii="Arial" w:eastAsia="inter" w:hAnsi="Arial" w:cs="Arial"/>
          <w:color w:val="000000"/>
          <w:sz w:val="28"/>
          <w:szCs w:val="28"/>
        </w:rPr>
        <w:t>trustee</w:t>
      </w:r>
      <w:proofErr w:type="spellEnd"/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indipendente, rende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molto più difficile per il fisco imputare automaticamente benefici o risorse ai soci come persone fisiche.</w:t>
      </w:r>
      <w:bookmarkStart w:id="0" w:name="fnref1"/>
      <w:bookmarkEnd w:id="0"/>
      <w:r w:rsidRPr="00FB1F2C">
        <w:rPr>
          <w:rFonts w:ascii="Arial" w:eastAsia="inter" w:hAnsi="Arial" w:cs="Arial"/>
          <w:sz w:val="28"/>
          <w:szCs w:val="28"/>
          <w:u w:val="single"/>
          <w:vertAlign w:val="superscript"/>
        </w:rPr>
        <w:t>[</w:t>
      </w:r>
    </w:p>
    <w:p w:rsidR="006631F0" w:rsidRPr="00FB1F2C" w:rsidRDefault="00F60B0F" w:rsidP="00FB1F2C">
      <w:pPr>
        <w:numPr>
          <w:ilvl w:val="0"/>
          <w:numId w:val="2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Continuità aziendale e pianificazione successoria: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Il trust è uno strumento potente per garantire la gestione </w:t>
      </w:r>
      <w:r w:rsidR="004A1308">
        <w:rPr>
          <w:rFonts w:ascii="Arial" w:eastAsia="inter" w:hAnsi="Arial" w:cs="Arial"/>
          <w:color w:val="000000"/>
          <w:sz w:val="28"/>
          <w:szCs w:val="28"/>
        </w:rPr>
        <w:t>in continui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t</w:t>
      </w:r>
      <w:r w:rsidR="004A1308">
        <w:rPr>
          <w:rFonts w:ascii="Arial" w:eastAsia="inter" w:hAnsi="Arial" w:cs="Arial"/>
          <w:color w:val="000000"/>
          <w:sz w:val="28"/>
          <w:szCs w:val="28"/>
        </w:rPr>
        <w:t xml:space="preserve">à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dell’azienda, facilitando il passaggio generazionale senza rischi di frammentazione della proprietà.</w:t>
      </w:r>
      <w:bookmarkStart w:id="1" w:name="fnref1:1"/>
      <w:bookmarkEnd w:id="1"/>
      <w:r w:rsidR="004A1308">
        <w:rPr>
          <w:rFonts w:ascii="Arial" w:eastAsia="inter" w:hAnsi="Arial" w:cs="Arial"/>
          <w:color w:val="000000"/>
          <w:sz w:val="28"/>
          <w:szCs w:val="28"/>
        </w:rPr>
        <w:t xml:space="preserve">  </w:t>
      </w:r>
    </w:p>
    <w:p w:rsidR="006631F0" w:rsidRPr="00FB1F2C" w:rsidRDefault="00F60B0F" w:rsidP="00FB1F2C">
      <w:pPr>
        <w:numPr>
          <w:ilvl w:val="0"/>
          <w:numId w:val="2"/>
        </w:numPr>
        <w:spacing w:before="105" w:after="105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Ottimizzazione fiscale e riservatezza: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Pur non essendo il motivo principale per l’adozione, il trust può rivelarsi utile per st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rategie di </w:t>
      </w:r>
      <w:r w:rsidRPr="00FB1F2C">
        <w:rPr>
          <w:rFonts w:ascii="Arial" w:eastAsia="inter" w:hAnsi="Arial" w:cs="Arial"/>
          <w:color w:val="000000"/>
          <w:sz w:val="28"/>
          <w:szCs w:val="28"/>
        </w:rPr>
        <w:lastRenderedPageBreak/>
        <w:t>pianificazione fiscale, oltre a garantire il massimo livello di riservatezza in ambito societario.</w:t>
      </w:r>
      <w:bookmarkStart w:id="2" w:name="fnref1:2"/>
      <w:bookmarkEnd w:id="2"/>
    </w:p>
    <w:p w:rsidR="004A1308" w:rsidRPr="004A1308" w:rsidRDefault="004A1308" w:rsidP="004A1308">
      <w:pPr>
        <w:spacing w:before="315" w:after="105" w:line="360" w:lineRule="auto"/>
        <w:ind w:left="-30"/>
        <w:jc w:val="both"/>
        <w:rPr>
          <w:rFonts w:ascii="Arial" w:eastAsia="inter" w:hAnsi="Arial" w:cs="Arial"/>
          <w:b/>
          <w:color w:val="000000"/>
          <w:sz w:val="28"/>
          <w:szCs w:val="28"/>
        </w:rPr>
      </w:pPr>
      <w:r>
        <w:rPr>
          <w:rFonts w:ascii="Arial" w:eastAsia="inter" w:hAnsi="Arial" w:cs="Arial"/>
          <w:b/>
          <w:color w:val="000000"/>
          <w:sz w:val="28"/>
          <w:szCs w:val="28"/>
        </w:rPr>
        <w:t>Esempio concreto: i</w:t>
      </w:r>
      <w:r w:rsidRPr="004A1308">
        <w:rPr>
          <w:rFonts w:ascii="Arial" w:eastAsia="inter" w:hAnsi="Arial" w:cs="Arial"/>
          <w:b/>
          <w:color w:val="000000"/>
          <w:sz w:val="28"/>
          <w:szCs w:val="28"/>
        </w:rPr>
        <w:t xml:space="preserve">nterposizione tra SRL e </w:t>
      </w:r>
      <w:r w:rsidRPr="004A1308">
        <w:rPr>
          <w:rFonts w:ascii="Arial" w:eastAsia="inter" w:hAnsi="Arial" w:cs="Arial"/>
          <w:b/>
          <w:color w:val="000000"/>
          <w:sz w:val="28"/>
          <w:szCs w:val="28"/>
        </w:rPr>
        <w:t>beneficiari del trust</w:t>
      </w:r>
    </w:p>
    <w:p w:rsidR="004A1308" w:rsidRPr="004A1308" w:rsidRDefault="004A1308" w:rsidP="004A1308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t>Immagina una società familiare italiana, “Rossi Srl”, di proprietà di madre, padre e due figli. Se questi soci detengono direttamente le quote</w:t>
      </w:r>
      <w:r>
        <w:rPr>
          <w:rFonts w:ascii="Arial" w:eastAsia="inter" w:hAnsi="Arial" w:cs="Arial"/>
          <w:color w:val="000000"/>
          <w:sz w:val="28"/>
          <w:szCs w:val="28"/>
        </w:rPr>
        <w:t xml:space="preserve"> della SRL</w:t>
      </w:r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, il fisco potrebbe presumere che gli utili e gli </w:t>
      </w:r>
      <w:proofErr w:type="spellStart"/>
      <w:r w:rsidRPr="004A1308">
        <w:rPr>
          <w:rFonts w:ascii="Arial" w:eastAsia="inter" w:hAnsi="Arial" w:cs="Arial"/>
          <w:color w:val="000000"/>
          <w:sz w:val="28"/>
          <w:szCs w:val="28"/>
        </w:rPr>
        <w:t>asset</w:t>
      </w:r>
      <w:proofErr w:type="spellEnd"/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 della società siano nella loro piena disponibilità personale, soprattutto in caso di accertamenti a società a ristretta base e in presenza di legami familiari. Questo comporterebbe il rischio che determinati flussi finanziari vengano tassati come redditi personali e non societari, con possibili sanzioni e recuperi fiscali aggressivi.</w:t>
      </w:r>
      <w:r>
        <w:rPr>
          <w:rFonts w:ascii="Arial" w:eastAsia="inter" w:hAnsi="Arial" w:cs="Arial"/>
          <w:color w:val="000000"/>
          <w:sz w:val="28"/>
          <w:szCs w:val="28"/>
        </w:rPr>
        <w:t xml:space="preserve"> Ecco, quindi, la s</w:t>
      </w:r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oluzione </w:t>
      </w:r>
      <w:r>
        <w:rPr>
          <w:rFonts w:ascii="Arial" w:eastAsia="inter" w:hAnsi="Arial" w:cs="Arial"/>
          <w:color w:val="000000"/>
          <w:sz w:val="28"/>
          <w:szCs w:val="28"/>
        </w:rPr>
        <w:t xml:space="preserve">data in concreto dalla </w:t>
      </w:r>
      <w:r w:rsidRPr="004A1308">
        <w:rPr>
          <w:rFonts w:ascii="Arial" w:eastAsia="inter" w:hAnsi="Arial" w:cs="Arial"/>
          <w:color w:val="000000"/>
          <w:sz w:val="28"/>
          <w:szCs w:val="28"/>
        </w:rPr>
        <w:t>interposizione del trust:</w:t>
      </w:r>
    </w:p>
    <w:p w:rsidR="004A1308" w:rsidRPr="004A1308" w:rsidRDefault="004A1308" w:rsidP="004A1308">
      <w:pPr>
        <w:pStyle w:val="Paragrafoelenco"/>
        <w:numPr>
          <w:ilvl w:val="0"/>
          <w:numId w:val="5"/>
        </w:numPr>
        <w:spacing w:before="315" w:after="105" w:line="360" w:lineRule="auto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I soci costituiscono un trust, affidano le proprie quote a questo strumento e designano un </w:t>
      </w:r>
      <w:proofErr w:type="spellStart"/>
      <w:r w:rsidRPr="004A1308">
        <w:rPr>
          <w:rFonts w:ascii="Arial" w:eastAsia="inter" w:hAnsi="Arial" w:cs="Arial"/>
          <w:color w:val="000000"/>
          <w:sz w:val="28"/>
          <w:szCs w:val="28"/>
        </w:rPr>
        <w:t>trustee</w:t>
      </w:r>
      <w:proofErr w:type="spellEnd"/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 indipendente. A quel punto, il trust diventa socio unico (o di maggioranza) della “Rossi Srl”. Gli ex-soci non possiedono più direttamente le quote: diventano beneficiari del trust, che gestisce e amministra le partecipazioni in base a regole di </w:t>
      </w:r>
      <w:proofErr w:type="spellStart"/>
      <w:r w:rsidRPr="004A1308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 e alla volontà espressa nell’atto istitutivo.</w:t>
      </w:r>
    </w:p>
    <w:p w:rsidR="004A1308" w:rsidRDefault="004A1308" w:rsidP="004A1308">
      <w:pPr>
        <w:pStyle w:val="Paragrafoelenco"/>
        <w:numPr>
          <w:ilvl w:val="0"/>
          <w:numId w:val="5"/>
        </w:numPr>
        <w:spacing w:before="315" w:after="105" w:line="360" w:lineRule="auto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t>Così si realizza una vera interposizione giuridica tra la società e i beneficiari, perché:</w:t>
      </w:r>
    </w:p>
    <w:p w:rsidR="004A1308" w:rsidRPr="004A1308" w:rsidRDefault="004A1308" w:rsidP="004A1308">
      <w:pPr>
        <w:spacing w:before="315" w:after="105" w:line="360" w:lineRule="auto"/>
        <w:ind w:firstLine="69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t>Il capitale sociale è intestato al trust, non alle persone fisiche.</w:t>
      </w:r>
    </w:p>
    <w:p w:rsidR="00D57814" w:rsidRDefault="004A1308" w:rsidP="00D57814">
      <w:pPr>
        <w:spacing w:before="315" w:after="105" w:line="360" w:lineRule="auto"/>
        <w:ind w:left="709" w:hanging="19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t xml:space="preserve">Qualunque decisione, distribuzione di utili o azione societaria è intermediata dal </w:t>
      </w:r>
      <w:proofErr w:type="spellStart"/>
      <w:r w:rsidRPr="004A1308">
        <w:rPr>
          <w:rFonts w:ascii="Arial" w:eastAsia="inter" w:hAnsi="Arial" w:cs="Arial"/>
          <w:color w:val="000000"/>
          <w:sz w:val="28"/>
          <w:szCs w:val="28"/>
        </w:rPr>
        <w:t>trustee</w:t>
      </w:r>
      <w:proofErr w:type="spellEnd"/>
      <w:r w:rsidRPr="004A1308">
        <w:rPr>
          <w:rFonts w:ascii="Arial" w:eastAsia="inter" w:hAnsi="Arial" w:cs="Arial"/>
          <w:color w:val="000000"/>
          <w:sz w:val="28"/>
          <w:szCs w:val="28"/>
        </w:rPr>
        <w:t>, vincolato alle regole del trust.</w:t>
      </w:r>
    </w:p>
    <w:p w:rsidR="00D57814" w:rsidRDefault="004A1308" w:rsidP="00D57814">
      <w:pPr>
        <w:spacing w:before="315" w:after="105" w:line="360" w:lineRule="auto"/>
        <w:ind w:left="709" w:hanging="19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4A1308">
        <w:rPr>
          <w:rFonts w:ascii="Arial" w:eastAsia="inter" w:hAnsi="Arial" w:cs="Arial"/>
          <w:color w:val="000000"/>
          <w:sz w:val="28"/>
          <w:szCs w:val="28"/>
        </w:rPr>
        <w:lastRenderedPageBreak/>
        <w:t>Il fisco, in sede di accertamento, trova un soggetto terzo separato dai beneficiari e non può più applicare automaticamente la commistione tra patrimonio aziendale e patrimonio personale.</w:t>
      </w:r>
    </w:p>
    <w:p w:rsidR="00D57814" w:rsidRPr="00D57814" w:rsidRDefault="00D57814" w:rsidP="00D57814">
      <w:pPr>
        <w:spacing w:before="315" w:after="105" w:line="360" w:lineRule="auto"/>
        <w:ind w:left="709" w:hanging="19"/>
        <w:jc w:val="both"/>
        <w:rPr>
          <w:rFonts w:ascii="Arial" w:eastAsia="inter" w:hAnsi="Arial" w:cs="Arial"/>
          <w:color w:val="000000"/>
          <w:sz w:val="28"/>
          <w:szCs w:val="28"/>
        </w:rPr>
      </w:pPr>
    </w:p>
    <w:p w:rsidR="006631F0" w:rsidRPr="00FB1F2C" w:rsidRDefault="004A1308" w:rsidP="00FB1F2C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inter" w:hAnsi="Arial" w:cs="Arial"/>
          <w:b/>
          <w:color w:val="000000"/>
          <w:sz w:val="28"/>
          <w:szCs w:val="28"/>
        </w:rPr>
        <w:t>Enorme f</w:t>
      </w:r>
      <w:r w:rsidR="00F60B0F" w:rsidRPr="00FB1F2C">
        <w:rPr>
          <w:rFonts w:ascii="Arial" w:eastAsia="inter" w:hAnsi="Arial" w:cs="Arial"/>
          <w:b/>
          <w:color w:val="000000"/>
          <w:sz w:val="28"/>
          <w:szCs w:val="28"/>
        </w:rPr>
        <w:t xml:space="preserve">lessibilità del Trust: </w:t>
      </w: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personalizzazione su misura</w:t>
      </w:r>
    </w:p>
    <w:p w:rsidR="006631F0" w:rsidRDefault="00F60B0F" w:rsidP="00FB1F2C">
      <w:pPr>
        <w:spacing w:after="210" w:line="360" w:lineRule="auto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FB1F2C">
        <w:rPr>
          <w:rFonts w:ascii="Arial" w:eastAsia="inter" w:hAnsi="Arial" w:cs="Arial"/>
          <w:color w:val="000000"/>
          <w:sz w:val="28"/>
          <w:szCs w:val="28"/>
        </w:rPr>
        <w:t>Uno degli aspetti che rendono il trust particolarmente effic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ace è la sua flessibilità normativa e operativa. Il trust non è uno strumento rigido: le regole di gestione, i poteri del </w:t>
      </w:r>
      <w:proofErr w:type="spellStart"/>
      <w:r w:rsidRPr="00FB1F2C">
        <w:rPr>
          <w:rFonts w:ascii="Arial" w:eastAsia="inter" w:hAnsi="Arial" w:cs="Arial"/>
          <w:color w:val="000000"/>
          <w:sz w:val="28"/>
          <w:szCs w:val="28"/>
        </w:rPr>
        <w:t>trustee</w:t>
      </w:r>
      <w:proofErr w:type="spellEnd"/>
      <w:r w:rsidRPr="00FB1F2C">
        <w:rPr>
          <w:rFonts w:ascii="Arial" w:eastAsia="inter" w:hAnsi="Arial" w:cs="Arial"/>
          <w:color w:val="000000"/>
          <w:sz w:val="28"/>
          <w:szCs w:val="28"/>
        </w:rPr>
        <w:t>, l</w:t>
      </w:r>
      <w:r w:rsidR="004A1308">
        <w:rPr>
          <w:rFonts w:ascii="Arial" w:eastAsia="inter" w:hAnsi="Arial" w:cs="Arial"/>
          <w:color w:val="000000"/>
          <w:sz w:val="28"/>
          <w:szCs w:val="28"/>
        </w:rPr>
        <w:t>e modalità di distribuzione de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i </w:t>
      </w:r>
      <w:r w:rsidR="004A1308">
        <w:rPr>
          <w:rFonts w:ascii="Arial" w:eastAsia="inter" w:hAnsi="Arial" w:cs="Arial"/>
          <w:color w:val="000000"/>
          <w:sz w:val="28"/>
          <w:szCs w:val="28"/>
        </w:rPr>
        <w:t>redditi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, la durata e le condizioni sono assolutamente personalizzabili in base alle esigenze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specifiche di ogni caso. Si possono prevedere trust a termine, trust familiari, trust per scopi aziendali, con o senza beneficiari determinati, con vincoli stringenti o maggior libertà gestionale. Questa possibilità di "disegnare su misura" la struttura d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el trust garantisce sia protezione giuridica che funzionalità operativa, accompagnando evoluzioni societarie, esigenze familiari e progetti imprenditoriali a lungo termine.</w:t>
      </w:r>
    </w:p>
    <w:p w:rsidR="004A1308" w:rsidRPr="00FB1F2C" w:rsidRDefault="004A1308" w:rsidP="00FB1F2C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</w:p>
    <w:p w:rsid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b/>
          <w:color w:val="000000"/>
          <w:sz w:val="28"/>
          <w:szCs w:val="28"/>
        </w:rPr>
      </w:pPr>
      <w:r>
        <w:rPr>
          <w:rFonts w:ascii="Arial" w:eastAsia="inter" w:hAnsi="Arial" w:cs="Arial"/>
          <w:b/>
          <w:color w:val="000000"/>
          <w:sz w:val="28"/>
          <w:szCs w:val="28"/>
        </w:rPr>
        <w:t xml:space="preserve">Casi concreti di utilizzo del trust in importanti aziende familiari </w:t>
      </w:r>
    </w:p>
    <w:p w:rsidR="00D57814" w:rsidRP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Ecco </w:t>
      </w:r>
      <w:r>
        <w:rPr>
          <w:rFonts w:ascii="Arial" w:eastAsia="inter" w:hAnsi="Arial" w:cs="Arial"/>
          <w:color w:val="000000"/>
          <w:sz w:val="28"/>
          <w:szCs w:val="28"/>
        </w:rPr>
        <w:t>un breve elenco d</w:t>
      </w:r>
      <w:r w:rsidRPr="00D57814">
        <w:rPr>
          <w:rFonts w:ascii="Arial" w:eastAsia="inter" w:hAnsi="Arial" w:cs="Arial"/>
          <w:color w:val="000000"/>
          <w:sz w:val="28"/>
          <w:szCs w:val="28"/>
        </w:rPr>
        <w:t>i casi di aziende familiari italiane che hanno adottato soluzioni come il trust per la gestione e la protezione del capitale societario:</w:t>
      </w:r>
    </w:p>
    <w:p w:rsidR="00D57814" w:rsidRP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D57814">
        <w:rPr>
          <w:rFonts w:ascii="Arial" w:eastAsia="inter" w:hAnsi="Arial" w:cs="Arial"/>
          <w:b/>
          <w:color w:val="000000"/>
          <w:sz w:val="28"/>
          <w:szCs w:val="28"/>
        </w:rPr>
        <w:t>Ferragamo</w:t>
      </w:r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: La famiglia Ferragamo ha impiegato il trust per garantire continuità, pianificazione successoria e una netta separazione tra la gestione patrimoniale personale e quella aziendale, proteggendo il </w:t>
      </w:r>
      <w:proofErr w:type="spellStart"/>
      <w:r w:rsidRPr="00D57814">
        <w:rPr>
          <w:rFonts w:ascii="Arial" w:eastAsia="inter" w:hAnsi="Arial" w:cs="Arial"/>
          <w:color w:val="000000"/>
          <w:sz w:val="28"/>
          <w:szCs w:val="28"/>
        </w:rPr>
        <w:t>brand</w:t>
      </w:r>
      <w:proofErr w:type="spellEnd"/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 e il capitale dalle frammentazioni familiari.</w:t>
      </w:r>
    </w:p>
    <w:p w:rsidR="00D57814" w:rsidRP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D57814">
        <w:rPr>
          <w:rFonts w:ascii="Arial" w:eastAsia="inter" w:hAnsi="Arial" w:cs="Arial"/>
          <w:b/>
          <w:color w:val="000000"/>
          <w:sz w:val="28"/>
          <w:szCs w:val="28"/>
        </w:rPr>
        <w:lastRenderedPageBreak/>
        <w:t>Benetton</w:t>
      </w:r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: La complessa holding della famiglia Benetton ha fatto ricorso a strutture fiduciari e trust sia per agevolare passaggi generazionali, sia per tutelare il controllo sulle attività operative e consolidare il patrimonio aziendale in un quadro di </w:t>
      </w:r>
      <w:proofErr w:type="spellStart"/>
      <w:r w:rsidRPr="00D57814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 evoluto.</w:t>
      </w:r>
    </w:p>
    <w:p w:rsidR="00D57814" w:rsidRP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D57814">
        <w:rPr>
          <w:rFonts w:ascii="Arial" w:eastAsia="inter" w:hAnsi="Arial" w:cs="Arial"/>
          <w:b/>
          <w:color w:val="000000"/>
          <w:sz w:val="28"/>
          <w:szCs w:val="28"/>
        </w:rPr>
        <w:t>Antinori</w:t>
      </w:r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: Anche la storica famiglia Antinori, leader nel settore vitivinicolo, ha adottato il trust per la gestione delle partecipazioni societarie e per pianificare con successo il passaggio generazionale. Grazie al trust, gli </w:t>
      </w:r>
      <w:proofErr w:type="spellStart"/>
      <w:r w:rsidRPr="00D57814">
        <w:rPr>
          <w:rFonts w:ascii="Arial" w:eastAsia="inter" w:hAnsi="Arial" w:cs="Arial"/>
          <w:color w:val="000000"/>
          <w:sz w:val="28"/>
          <w:szCs w:val="28"/>
        </w:rPr>
        <w:t>asset</w:t>
      </w:r>
      <w:proofErr w:type="spellEnd"/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 aziendali risultano protetti e la </w:t>
      </w:r>
      <w:proofErr w:type="spellStart"/>
      <w:r w:rsidRPr="00D57814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D57814">
        <w:rPr>
          <w:rFonts w:ascii="Arial" w:eastAsia="inter" w:hAnsi="Arial" w:cs="Arial"/>
          <w:color w:val="000000"/>
          <w:sz w:val="28"/>
          <w:szCs w:val="28"/>
        </w:rPr>
        <w:t xml:space="preserve"> del gruppo è risultata più stabile e resiliente nel tempo.</w:t>
      </w:r>
    </w:p>
    <w:p w:rsidR="00D57814" w:rsidRPr="00D57814" w:rsidRDefault="00D57814" w:rsidP="00D57814">
      <w:pPr>
        <w:spacing w:before="315" w:after="105" w:line="360" w:lineRule="auto"/>
        <w:ind w:left="-30"/>
        <w:jc w:val="both"/>
        <w:rPr>
          <w:rFonts w:ascii="Arial" w:eastAsia="inter" w:hAnsi="Arial" w:cs="Arial"/>
          <w:color w:val="000000"/>
          <w:sz w:val="28"/>
          <w:szCs w:val="28"/>
        </w:rPr>
      </w:pPr>
      <w:r w:rsidRPr="00D57814">
        <w:rPr>
          <w:rFonts w:ascii="Arial" w:eastAsia="inter" w:hAnsi="Arial" w:cs="Arial"/>
          <w:color w:val="000000"/>
          <w:sz w:val="28"/>
          <w:szCs w:val="28"/>
        </w:rPr>
        <w:t>Questi esempi dimostrano come il trust sia una soluzione moderna e versatile, scelta da alcune delle principali famiglie imprenditoriali italiane per affrontare le sfide legate alla protezione del capitale, alla successione e alla gestione delle società.</w:t>
      </w:r>
    </w:p>
    <w:p w:rsidR="00D57814" w:rsidRDefault="00D57814" w:rsidP="00FB1F2C">
      <w:pPr>
        <w:spacing w:before="315" w:after="105" w:line="360" w:lineRule="auto"/>
        <w:ind w:left="-30"/>
        <w:jc w:val="both"/>
        <w:rPr>
          <w:rFonts w:ascii="Arial" w:eastAsia="inter" w:hAnsi="Arial" w:cs="Arial"/>
          <w:b/>
          <w:color w:val="000000"/>
          <w:sz w:val="28"/>
          <w:szCs w:val="28"/>
        </w:rPr>
      </w:pPr>
    </w:p>
    <w:p w:rsidR="006631F0" w:rsidRPr="00FB1F2C" w:rsidRDefault="00F60B0F" w:rsidP="00FB1F2C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b/>
          <w:color w:val="000000"/>
          <w:sz w:val="28"/>
          <w:szCs w:val="28"/>
        </w:rPr>
        <w:t>Conclusioni</w:t>
      </w:r>
    </w:p>
    <w:p w:rsidR="006631F0" w:rsidRPr="00FB1F2C" w:rsidRDefault="00F60B0F" w:rsidP="004A1308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FB1F2C">
        <w:rPr>
          <w:rFonts w:ascii="Arial" w:eastAsia="inter" w:hAnsi="Arial" w:cs="Arial"/>
          <w:color w:val="000000"/>
          <w:sz w:val="28"/>
          <w:szCs w:val="28"/>
        </w:rPr>
        <w:t>Di fronte agli accertamenti presuntivi che mettono a rischio gli intere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ssi dei soci di SRL a ristretta base, il trust si configura come una soluzione strategica, capace di difendere gli </w:t>
      </w:r>
      <w:proofErr w:type="spellStart"/>
      <w:r w:rsidRPr="00FB1F2C">
        <w:rPr>
          <w:rFonts w:ascii="Arial" w:eastAsia="inter" w:hAnsi="Arial" w:cs="Arial"/>
          <w:color w:val="000000"/>
          <w:sz w:val="28"/>
          <w:szCs w:val="28"/>
        </w:rPr>
        <w:t>asset</w:t>
      </w:r>
      <w:proofErr w:type="spellEnd"/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aziendali e personali e di adattarsi alle diverse necessità operative e familiari. Rivolgersi a professionisti esperti è fondamentale p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>er una corretta strutturazione ed amministrazione dello strumento</w:t>
      </w:r>
      <w:r w:rsidR="004A1308">
        <w:rPr>
          <w:rFonts w:ascii="Arial" w:eastAsia="inter" w:hAnsi="Arial" w:cs="Arial"/>
          <w:color w:val="000000"/>
          <w:sz w:val="28"/>
          <w:szCs w:val="28"/>
        </w:rPr>
        <w:t>.</w:t>
      </w:r>
      <w:r w:rsidRPr="00FB1F2C">
        <w:rPr>
          <w:rFonts w:ascii="Arial" w:eastAsia="inter" w:hAnsi="Arial" w:cs="Arial"/>
          <w:color w:val="000000"/>
          <w:sz w:val="28"/>
          <w:szCs w:val="28"/>
        </w:rPr>
        <w:t xml:space="preserve"> </w:t>
      </w:r>
    </w:p>
    <w:sectPr w:rsidR="006631F0" w:rsidRPr="00FB1F2C" w:rsidSect="006631F0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675C"/>
    <w:multiLevelType w:val="hybridMultilevel"/>
    <w:tmpl w:val="2354C2DE"/>
    <w:lvl w:ilvl="0" w:tplc="0410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22030FD3"/>
    <w:multiLevelType w:val="hybridMultilevel"/>
    <w:tmpl w:val="67520A9A"/>
    <w:lvl w:ilvl="0" w:tplc="3AD2D58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F6AAA5A">
      <w:numFmt w:val="decimal"/>
      <w:lvlText w:val=""/>
      <w:lvlJc w:val="left"/>
    </w:lvl>
    <w:lvl w:ilvl="2" w:tplc="E256A6AE">
      <w:numFmt w:val="decimal"/>
      <w:lvlText w:val=""/>
      <w:lvlJc w:val="left"/>
    </w:lvl>
    <w:lvl w:ilvl="3" w:tplc="E12E3E0A">
      <w:numFmt w:val="decimal"/>
      <w:lvlText w:val=""/>
      <w:lvlJc w:val="left"/>
    </w:lvl>
    <w:lvl w:ilvl="4" w:tplc="77602080">
      <w:numFmt w:val="decimal"/>
      <w:lvlText w:val=""/>
      <w:lvlJc w:val="left"/>
    </w:lvl>
    <w:lvl w:ilvl="5" w:tplc="0F963FB8">
      <w:numFmt w:val="decimal"/>
      <w:lvlText w:val=""/>
      <w:lvlJc w:val="left"/>
    </w:lvl>
    <w:lvl w:ilvl="6" w:tplc="D0D290DE">
      <w:numFmt w:val="decimal"/>
      <w:lvlText w:val=""/>
      <w:lvlJc w:val="left"/>
    </w:lvl>
    <w:lvl w:ilvl="7" w:tplc="1C08E79C">
      <w:numFmt w:val="decimal"/>
      <w:lvlText w:val=""/>
      <w:lvlJc w:val="left"/>
    </w:lvl>
    <w:lvl w:ilvl="8" w:tplc="E19EE442">
      <w:numFmt w:val="decimal"/>
      <w:lvlText w:val=""/>
      <w:lvlJc w:val="left"/>
    </w:lvl>
  </w:abstractNum>
  <w:abstractNum w:abstractNumId="2">
    <w:nsid w:val="22250FF5"/>
    <w:multiLevelType w:val="hybridMultilevel"/>
    <w:tmpl w:val="6726820E"/>
    <w:lvl w:ilvl="0" w:tplc="C316A9E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E04DD4E">
      <w:numFmt w:val="decimal"/>
      <w:lvlText w:val=""/>
      <w:lvlJc w:val="left"/>
    </w:lvl>
    <w:lvl w:ilvl="2" w:tplc="B8A87654">
      <w:numFmt w:val="decimal"/>
      <w:lvlText w:val=""/>
      <w:lvlJc w:val="left"/>
    </w:lvl>
    <w:lvl w:ilvl="3" w:tplc="DC76141A">
      <w:numFmt w:val="decimal"/>
      <w:lvlText w:val=""/>
      <w:lvlJc w:val="left"/>
    </w:lvl>
    <w:lvl w:ilvl="4" w:tplc="695437D6">
      <w:numFmt w:val="decimal"/>
      <w:lvlText w:val=""/>
      <w:lvlJc w:val="left"/>
    </w:lvl>
    <w:lvl w:ilvl="5" w:tplc="6FE28BEE">
      <w:numFmt w:val="decimal"/>
      <w:lvlText w:val=""/>
      <w:lvlJc w:val="left"/>
    </w:lvl>
    <w:lvl w:ilvl="6" w:tplc="933C07F2">
      <w:numFmt w:val="decimal"/>
      <w:lvlText w:val=""/>
      <w:lvlJc w:val="left"/>
    </w:lvl>
    <w:lvl w:ilvl="7" w:tplc="25C0BE12">
      <w:numFmt w:val="decimal"/>
      <w:lvlText w:val=""/>
      <w:lvlJc w:val="left"/>
    </w:lvl>
    <w:lvl w:ilvl="8" w:tplc="6A90862A">
      <w:numFmt w:val="decimal"/>
      <w:lvlText w:val=""/>
      <w:lvlJc w:val="left"/>
    </w:lvl>
  </w:abstractNum>
  <w:abstractNum w:abstractNumId="3">
    <w:nsid w:val="40F37819"/>
    <w:multiLevelType w:val="hybridMultilevel"/>
    <w:tmpl w:val="5296DA18"/>
    <w:lvl w:ilvl="0" w:tplc="8214A05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974BED2">
      <w:numFmt w:val="decimal"/>
      <w:lvlText w:val=""/>
      <w:lvlJc w:val="left"/>
    </w:lvl>
    <w:lvl w:ilvl="2" w:tplc="35CAF796">
      <w:numFmt w:val="decimal"/>
      <w:lvlText w:val=""/>
      <w:lvlJc w:val="left"/>
    </w:lvl>
    <w:lvl w:ilvl="3" w:tplc="B824D204">
      <w:numFmt w:val="decimal"/>
      <w:lvlText w:val=""/>
      <w:lvlJc w:val="left"/>
    </w:lvl>
    <w:lvl w:ilvl="4" w:tplc="7D82413C">
      <w:numFmt w:val="decimal"/>
      <w:lvlText w:val=""/>
      <w:lvlJc w:val="left"/>
    </w:lvl>
    <w:lvl w:ilvl="5" w:tplc="1BF83FE0">
      <w:numFmt w:val="decimal"/>
      <w:lvlText w:val=""/>
      <w:lvlJc w:val="left"/>
    </w:lvl>
    <w:lvl w:ilvl="6" w:tplc="D2A47072">
      <w:numFmt w:val="decimal"/>
      <w:lvlText w:val=""/>
      <w:lvlJc w:val="left"/>
    </w:lvl>
    <w:lvl w:ilvl="7" w:tplc="5FF00764">
      <w:numFmt w:val="decimal"/>
      <w:lvlText w:val=""/>
      <w:lvlJc w:val="left"/>
    </w:lvl>
    <w:lvl w:ilvl="8" w:tplc="EA46273E">
      <w:numFmt w:val="decimal"/>
      <w:lvlText w:val=""/>
      <w:lvlJc w:val="left"/>
    </w:lvl>
  </w:abstractNum>
  <w:abstractNum w:abstractNumId="4">
    <w:nsid w:val="67B60D39"/>
    <w:multiLevelType w:val="hybridMultilevel"/>
    <w:tmpl w:val="DE26DCBE"/>
    <w:lvl w:ilvl="0" w:tplc="0338F4CC">
      <w:numFmt w:val="decimal"/>
      <w:lvlText w:val=""/>
      <w:lvlJc w:val="left"/>
    </w:lvl>
    <w:lvl w:ilvl="1" w:tplc="DA661712">
      <w:numFmt w:val="decimal"/>
      <w:lvlText w:val=""/>
      <w:lvlJc w:val="left"/>
    </w:lvl>
    <w:lvl w:ilvl="2" w:tplc="6E04EFD0">
      <w:numFmt w:val="decimal"/>
      <w:lvlText w:val=""/>
      <w:lvlJc w:val="left"/>
    </w:lvl>
    <w:lvl w:ilvl="3" w:tplc="C3A05CA0">
      <w:numFmt w:val="decimal"/>
      <w:lvlText w:val=""/>
      <w:lvlJc w:val="left"/>
    </w:lvl>
    <w:lvl w:ilvl="4" w:tplc="BF0829FC">
      <w:numFmt w:val="decimal"/>
      <w:lvlText w:val=""/>
      <w:lvlJc w:val="left"/>
    </w:lvl>
    <w:lvl w:ilvl="5" w:tplc="30522B92">
      <w:numFmt w:val="decimal"/>
      <w:lvlText w:val=""/>
      <w:lvlJc w:val="left"/>
    </w:lvl>
    <w:lvl w:ilvl="6" w:tplc="D03E5578">
      <w:numFmt w:val="decimal"/>
      <w:lvlText w:val=""/>
      <w:lvlJc w:val="left"/>
    </w:lvl>
    <w:lvl w:ilvl="7" w:tplc="56E05A80">
      <w:numFmt w:val="decimal"/>
      <w:lvlText w:val=""/>
      <w:lvlJc w:val="left"/>
    </w:lvl>
    <w:lvl w:ilvl="8" w:tplc="683AFD6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631F0"/>
    <w:rsid w:val="004A1308"/>
    <w:rsid w:val="006631F0"/>
    <w:rsid w:val="00D57814"/>
    <w:rsid w:val="00F60B0F"/>
    <w:rsid w:val="00FB1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631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sid w:val="006631F0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1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1F2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A13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Utente</cp:lastModifiedBy>
  <cp:revision>2</cp:revision>
  <dcterms:created xsi:type="dcterms:W3CDTF">2025-08-22T10:40:00Z</dcterms:created>
  <dcterms:modified xsi:type="dcterms:W3CDTF">2025-08-22T10:40:00Z</dcterms:modified>
</cp:coreProperties>
</file>